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Centre del Carme invita a repensar nuestra sociedad desde el diseño junto a València Capital Mundial del Diseño 2022</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Talleres inclusivos infantiles, innovación en las Fallas o el diseño de los futuros espacios domésticos son algunas de las propuestas con las que el CCCC se une a la celebración</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La Sala Ferreres-Goerlich ofrecerá al público la primera exposición que revisa la trayectoria de Jaime Hayon en territorio valenciano</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(07.02.22).</w:t>
      </w:r>
      <w:r>
        <w:rPr>
          <w:rStyle w:val="Fuentedeprrafopredeter"/>
          <w:rFonts w:cs="arial" w:ascii="arial" w:hAnsi="arial"/>
          <w:b w:val="false"/>
          <w:bCs w:val="false"/>
          <w:sz w:val="24"/>
          <w:szCs w:val="24"/>
        </w:rPr>
        <w:t xml:space="preserve"> El Consorci de Museus de la Comunitat Valenciana (CMCV), a través del Centre del Carme Cultura Contemporània (CCCC), se une a la celebración de València Capital Mundial del Diseño 2022. Lo hace como espacio principal de la capitalidad a través de su programación expositiva y de una gran variedad de actividades pensadas para todos los públicos.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El Consorci de Museus y el Centre del Carme han colaborado en este proyecto desde que se presentó la candidatura y, como anticipo a esta capitalidad, ya en 2021 ofrecimos al público una programación con la que visibilizamos el papel del diseño en nuestro día a día a través de talleres didácticos y ponencias. Se trata de un objetivo que compartimos y en el que trabajamos cada año, por lo que nos volcamos en esta celebración que sitúa a la ciudad y a nuestros diseñadores y diseñadoras como referentes a nivel internacional”, destaca José Luis Pérez Pont, director del CMCV y del CCCC.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Por su parte, Xavi Calvo, director de València Capital Mundial del Diseño 2022, explica: “El CCCC se ha convertido en una pieza fundamental del programa de València Capital Mundial del Diseño 2022, dando forma y sentido a gran parte de las actividades culturales del diseño. Con contenidos centrados en la parte más didáctica del diseño, desde talleres infantiles a una de las muestras más democráticas del año, miradas al futuro del diseño, conferencias o presentaciones, el apoyo del Centre del Carme a la capital ha convertido nuestra programación conjunta en una de las de más nivel internacional”.</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En este sentido, Pérez Pont recuerda un proyecto propio con el que el Centre del Carme acerca el mundo del diseño a la ciudadanía: el ‘CCCC Disseny Channel. Un contenedor de visiones desde el diseño’. Se trata de un proyecto audiovisual que plantea posibles soluciones desde la disciplina del diseño a problemas que afectan a las personas en nuestro entorno próximo. Su objetivo es poner la creatividad del colectivo del diseño al servicio de la sociedad, abriendo nuevos caminos y ofreciendo múltiples enfoques ante los retos de una sociedad en continua evolución.</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Dirigido y coordinado por Alejandro Benavent, en su primera temporada ha contado con la participación de 25 profesionales del diseño, la ilustración, la arquitectura, el interiorismo o las artes visuales. Con un objetivo eminentemente didáctico y cultural, se han desarrollado más de 30 documentos audiovisuales que recogen las opiniones de distintos profesionales de las industrias del diseño ante un reto o cuestión por resolver.</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bCs/>
          <w:sz w:val="24"/>
          <w:szCs w:val="24"/>
        </w:rPr>
        <w:t>Juego, Jaime Hayon o un viaje en el tiempo con las exposiciones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A lo largo del año, València Capital Mundial del Diseño 2022 desarrolla la mayor parte de su programación en el Centre del Carme, como principal motor de agitación cultural de la capital del Turia. Entre las actividades conjuntas destaca la programación expositiva, con la que el CCCC plantea la reflexión del público a través de creaciones e instalaciones que hacen referencia a cuestiones cotidianas pero también del futuro y del pasado, mostrando cómo el diseño siempre ha formado parte de nuestra sociedad. Los ciclos expositivos son coproducidos entre ambas instituciones y en algunos casos se unen más entidades colaboradoras.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Uno de los grandes reclamos será la exposición que revisa la trayectoria creativa de Jaime Hayon, la primera en la Comunitat Valenciana, que podrá disfrutarse en la Sala Ferreres-Goerlich entre octubre y abril de 2023. El diseñador, con base creativa en València, ha sido designado Premio Nacional de Diseño 2021 por ser un gran referente del diseño español a nivel internacional. Se ha convertido en todo un embajador de ámbitos como la iluminación, el mobiliario, hábitats y el diseño para espacios públicos gracias a su dominio de la escultura, la artesanía y el interiorismo.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
    </w:p>
    <w:p>
      <w:pPr>
        <w:pStyle w:val="CuerpoA"/>
        <w:jc w:val="both"/>
        <w:rPr/>
      </w:pPr>
      <w:r>
        <w:rPr>
          <w:rStyle w:val="Fuentedeprrafopredeter"/>
          <w:rFonts w:cs="arial" w:ascii="arial" w:hAnsi="arial"/>
          <w:b w:val="false"/>
          <w:bCs w:val="false"/>
          <w:sz w:val="24"/>
          <w:szCs w:val="24"/>
        </w:rPr>
        <w:t>A partir del 11 de febrero, el público descubrirá por qué los objetos tienen esa forma, cómo nacieron y cómo funcionan con ‘Per què soc així?’, una exposición comisariada por Juli Capella que inicia la programación expositiva coproducida con la capitalidad. Con el apoyo de la Diputació de València, la muestra reúne parte de la colección Pérez de Albéniz-Bergasa.</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Echando la vista atrás, en mayo llega ‘Sedas naranjas. Frutas de diseño’, un proyecto de recuperación de la gráfica existente en torno a las marcas de frutas con foco en diseños creados desde final de los años 50 coproducida con CentroCentro. La imagen que envuelve las frutas es parte de la gráfica cotidiana de los consumidores de España y de Europa y con la muestra se realza el valor del trabajo de creadores y diseñadores y diseñadoras locales, muchas veces desconocidos, enmarcando su trabajo en el ambiente de diseño contemporáneo.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También en mayo se podrá disfrutar de ‘Play With Design’, una producción del Centre del Carme con el estudio valenciano Milimbo concebida como un itinerario que muestra y facilita materiales con los que poder interactuar en un constante diálogo entre juego y diseño. Interpela al visitante a tomar parte activa de la misma como creador. La iniciativa se propone evidenciar que el diseño no es ajeno a nadie y que está más presente en nuestras vidas de lo que creemos, como una herramienta para el aprendizaje y el desarrollo humano.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En julio se podrá visitar ‘Nude. 20 años. 20 diseñadores’, una exposición coproducida también con Feria Hàbitat València que muestra una veintena de diseños presentados en el Salón nude. La exposición se centra en el importante rol que ha tenido el Salón nude como cantera de talento valenciano a través de veinte casos de éxito seleccionados por un comité de expertos. En sus 20 años de trayectoria sigue siendo la plataforma de referencia nacional para la internacionalización del diseño emergente de España.</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Finalmente, con ‘Escenarios de un futuro cercano’, el público podrá conocer cómo serán nuestros entornos domésticos en un futuro no muy lejano. Espacios y diseños futuristas, verosímiles al mismo tiempo, que reflejan los cambios en estilo de vida que ya hoy atisbamos a través de estos espacios no tanto de una manera disruptiva y utópica, sino a partir de cuestiones que están sobre la mesa desde el siglo pasado y que hasta ahora no se habían sincronizado con una sociedad con una mentalidad tan abierta al cambio como la actual. Tachy Mora es la comisaria de esta exposición, en la que participan Cambres Design, Nahtrang, Eli Gutiérrez, Julia Esqué, Marc Morro, Jaume Ramírez, Cierto Estudio, Silvia Ceñal, Alejandra Gandía-Blasco, Rocío Gambín y Arqueha, entre otros.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bCs/>
          <w:sz w:val="24"/>
          <w:szCs w:val="24"/>
        </w:rPr>
        <w:t>Fallas y talleres inclusivos con el diseño como hilo conductor</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Además de las exposiciones, el Centre del Carme es escenario de numerosos  actos de València Capital Mundial del Diseño 2022. El primero de ellos será una conferencia a cargo de Marusela Granell, ‘La experiencia estética, puentes hacia el futuro’, en la que se contemplará el fenómeno del arte y la estética de forma panorámica y se trazarán puentes de la interpretación que comunican épocas y periodos, intentando dilucidar cuáles son esos puentes, que, como agujeros de gusano, nos lanzan hacia el futuro.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Con la mirada puesta en las Fallas, habrá un conjunto de actividades bautizado como ‘FOC: Fallas, Tradition and Local Design’. Se presentará ‘Una crida a la festa. Guia dels cartells de les falles (1929-2021)’, de Gil Manuel Hernández Martí; el llibret de falla ‘Dissenyar Icones’, dirigido por la Asociación Cultural Falla Penya el Mocador de Sagunt, que reflexiona sobre unas fiestas más innovadoras y sostenibles; el libro ‘FOC, diseñar el fuego’, de José Francisco Carsi Navarro, que muestra las características de las fallas al mundo; el ensayo académico ‘Materials per a una teoría estètica de les falles experimentals’, de Román de la Calle; y la conferencia ‘Burning Man: a living laboratory for civic design’, con la participación de Stuart Mangrum.</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A ello se suman dos talleres dirigidos al público infantil con necesidades especiales. El primero de ellos, Bloubu, un juego de mesa de alto nivel educativo, para niños y niñas de entre 5 y 10 años con trastornos en el habla, el lenguaje o la comunicación. Existe en el mercado poco material especializado, con falta de atractivo. El objetivo de este proyecto consiste en motivar de manera gráfica a los pequeños para que puedan desarrollar y trabajar capacidades como la memoria, la atención, la inteligencia emocional, la comunicación, la autonomía o la cooperación, así como despertar su interés, creatividad e imaginación.</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Y en segundo lugar, el proyecto La Inclusiva, de Menosesmas. Este pretende ser una herramienta para la divulgación y difusión de la lengua de signos y el braille a través de la creación de un alfabeto inclusivo. En este caso, generando una tipografía que iguale y aúne ambos sistemas de comunicación con el sistema hablado y/o escrito y fomentando el debate sobre la relación y el papel del diseño con la integración y la supresión de barreras de comunicación.</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 </w:t>
      </w:r>
    </w:p>
    <w:p>
      <w:pPr>
        <w:pStyle w:val="CuerpoA"/>
        <w:jc w:val="both"/>
        <w:rPr/>
      </w:pPr>
      <w:r>
        <w:rPr/>
      </w:r>
    </w:p>
    <w:sectPr>
      <w:headerReference w:type="default" r:id="rId2"/>
      <w:footerReference w:type="default" r:id="rId3"/>
      <w:type w:val="nextPage"/>
      <w:pgSz w:w="11906" w:h="16838"/>
      <w:pgMar w:left="1701" w:right="1701" w:header="57" w:top="1416" w:footer="708" w:bottom="1417" w:gutter="0"/>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Wingdings">
    <w:charset w:val="01"/>
    <w:family w:val="roman"/>
    <w:pitch w:val="variable"/>
  </w:font>
  <w:font w:name="Lucida Grande">
    <w:charset w:val="01"/>
    <w:family w:val="roman"/>
    <w:pitch w:val="variable"/>
  </w:font>
  <w:font w:name="Politica XT">
    <w:charset w:val="01"/>
    <w:family w:val="roman"/>
    <w:pitch w:val="variable"/>
  </w:font>
  <w:font w:name="Arial">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 w:name="Times">
    <w:altName w:val="Times New Roman"/>
    <w:charset w:val="01"/>
    <w:family w:val="roman"/>
    <w:pitch w:val="variable"/>
  </w:font>
  <w:font w:name="Helvetica">
    <w:altName w:val="Arial"/>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34" t="-1312" r="-34" b="-1312"/>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drawing>
        <wp:anchor behindDoc="1" distT="0" distB="0" distL="0" distR="0" simplePos="0" locked="0" layoutInCell="1" allowOverlap="1" relativeHeight="5">
          <wp:simplePos x="0" y="0"/>
          <wp:positionH relativeFrom="column">
            <wp:align>center</wp:align>
          </wp:positionH>
          <wp:positionV relativeFrom="paragraph">
            <wp:posOffset>635</wp:posOffset>
          </wp:positionV>
          <wp:extent cx="5535295" cy="504825"/>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5535295" cy="504825"/>
                  </a:xfrm>
                  <a:prstGeom prst="rect">
                    <a:avLst/>
                  </a:prstGeom>
                </pic:spPr>
              </pic:pic>
            </a:graphicData>
          </a:graphic>
        </wp:anchor>
      </w:drawing>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Cambria" w:hAnsi="Cambria" w:eastAsia="MS Mincho;MS Gothic" w:cs="Cambria"/>
      <w:color w:val="00000A"/>
      <w:kern w:val="0"/>
      <w:sz w:val="24"/>
      <w:szCs w:val="24"/>
      <w:lang w:val="en-US"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n-US"/>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n-US"/>
    </w:rPr>
  </w:style>
  <w:style w:type="character" w:styleId="Internetlink">
    <w:name w:val="Internet link"/>
    <w:qFormat/>
    <w:rPr>
      <w:color w:val="0000FF"/>
      <w:u w:val="single" w:color="000000"/>
    </w:rPr>
  </w:style>
  <w:style w:type="character" w:styleId="NingunoA">
    <w:name w:val="Ninguno A"/>
    <w:qFormat/>
    <w:rPr>
      <w:lang w:val="en-US"/>
    </w:rPr>
  </w:style>
  <w:style w:type="character" w:styleId="ListLabel1">
    <w:name w:val="ListLabel 1"/>
    <w:qFormat/>
    <w:rPr>
      <w:rFonts w:ascii="Arial" w:hAnsi="Arial" w:cs="Symbol"/>
      <w:sz w:val="24"/>
    </w:rPr>
  </w:style>
  <w:style w:type="character" w:styleId="ListLabel2">
    <w:name w:val="ListLabel 2"/>
    <w:qFormat/>
    <w:rPr>
      <w:rFonts w:ascii="Arial" w:hAnsi="Arial" w:cs="Symbol"/>
      <w:sz w:val="24"/>
    </w:rPr>
  </w:style>
  <w:style w:type="character" w:styleId="ListLabel3">
    <w:name w:val="ListLabel 3"/>
    <w:qFormat/>
    <w:rPr>
      <w:rFonts w:ascii="Arial" w:hAnsi="Arial" w:cs="Symbol"/>
      <w:sz w:val="24"/>
    </w:rPr>
  </w:style>
  <w:style w:type="character" w:styleId="ListLabel4">
    <w:name w:val="ListLabel 4"/>
    <w:qFormat/>
    <w:rPr>
      <w:rFonts w:ascii="Arial" w:hAnsi="Arial" w:cs="Symbol"/>
      <w:sz w:val="24"/>
    </w:rPr>
  </w:style>
  <w:style w:type="character" w:styleId="ListLabel5">
    <w:name w:val="ListLabel 5"/>
    <w:qFormat/>
    <w:rPr>
      <w:rFonts w:ascii="Arial" w:hAnsi="Arial" w:cs="Symbol"/>
      <w:sz w:val="24"/>
    </w:rPr>
  </w:style>
  <w:style w:type="paragraph" w:styleId="Ttulo">
    <w:name w:val="Título"/>
    <w:basedOn w:val="Normal"/>
    <w:next w:val="Cuerpodetexto"/>
    <w:qFormat/>
    <w:pPr>
      <w:keepNext w:val="true"/>
      <w:spacing w:before="240" w:after="120"/>
    </w:pPr>
    <w:rPr>
      <w:rFonts w:ascii="Liberation Sans" w:hAnsi="Liberation Sans"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
    <w:name w:val="Encabezado"/>
    <w:basedOn w:val="Normal"/>
    <w:qFormat/>
    <w:pPr>
      <w:keepNext w:val="true"/>
      <w:spacing w:before="240" w:after="120"/>
    </w:pPr>
    <w:rPr>
      <w:rFonts w:ascii="Liberation Sans" w:hAnsi="Liberation Sans" w:eastAsia="Noto Sans CJK SC Regular" w:cs="FreeSans"/>
      <w:sz w:val="28"/>
      <w:szCs w:val="28"/>
    </w:rPr>
  </w:style>
  <w:style w:type="paragraph" w:styleId="Titular">
    <w:name w:val="Title"/>
    <w:basedOn w:val="Normal"/>
    <w:qFormat/>
    <w:pPr>
      <w:keepNext w:val="true"/>
      <w:spacing w:before="240" w:after="120"/>
    </w:pPr>
    <w:rPr>
      <w:rFonts w:ascii="Liberation Sans;Arial" w:hAnsi="Liberation Sans;Arial" w:eastAsia="Noto Sans CJK SC Regular" w:cs="Lohit Devanagari"/>
      <w:sz w:val="28"/>
      <w:szCs w:val="28"/>
    </w:rPr>
  </w:style>
  <w:style w:type="paragraph" w:styleId="Encabezado4">
    <w:name w:val="Encabezado4"/>
    <w:basedOn w:val="Normal"/>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qFormat/>
    <w:pPr>
      <w:keepNext w:val="true"/>
      <w:spacing w:before="240" w:after="120"/>
    </w:pPr>
    <w:rPr>
      <w:rFonts w:ascii="Arial" w:hAnsi="Arial" w:eastAsia="Microsoft YaHei" w:cs="Arial"/>
      <w:sz w:val="28"/>
      <w:szCs w:val="28"/>
    </w:rPr>
  </w:style>
  <w:style w:type="paragraph" w:styleId="Encabezado2">
    <w:name w:val="Encabezado2"/>
    <w:basedOn w:val="Normal"/>
    <w:qFormat/>
    <w:pPr>
      <w:keepNext w:val="true"/>
      <w:spacing w:before="240" w:after="120"/>
    </w:pPr>
    <w:rPr>
      <w:rFonts w:ascii="Arial" w:hAnsi="Arial" w:eastAsia="Microsoft YaHei" w:cs="Arial"/>
      <w:sz w:val="28"/>
      <w:szCs w:val="28"/>
    </w:rPr>
  </w:style>
  <w:style w:type="paragraph" w:styleId="Encabezado1">
    <w:name w:val="Encabezado1"/>
    <w:basedOn w:val="Normal"/>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val="clear" w:fill="FFFFFF"/>
      <w:suppressAutoHyphens w:val="true"/>
      <w:bidi w:val="0"/>
      <w:jc w:val="left"/>
      <w:textAlignment w:val="baseline"/>
    </w:pPr>
    <w:rPr>
      <w:rFonts w:ascii="Liberation Serif;Times New Roman" w:hAnsi="Liberation Serif;Times New Roman" w:eastAsia="Liberation Serif;Times New Roman" w:cs="Liberation Serif;Times New Roman"/>
      <w:color w:val="000000"/>
      <w:kern w:val="0"/>
      <w:sz w:val="24"/>
      <w:szCs w:val="24"/>
      <w:lang w:val="es-ES" w:eastAsia="zh-CN" w:bidi="hi-IN"/>
    </w:rPr>
  </w:style>
  <w:style w:type="paragraph" w:styleId="Sinespaciado">
    <w:name w:val="Sin espaciado"/>
    <w:qFormat/>
    <w:pPr>
      <w:widowControl/>
      <w:suppressAutoHyphens w:val="true"/>
      <w:bidi w:val="0"/>
      <w:jc w:val="left"/>
    </w:pPr>
    <w:rPr>
      <w:rFonts w:ascii="Calibri" w:hAnsi="Calibri" w:eastAsia="Calibri" w:cs="Calibri"/>
      <w:color w:val="00000A"/>
      <w:kern w:val="0"/>
      <w:sz w:val="22"/>
      <w:szCs w:val="22"/>
      <w:lang w:val="es-ES" w:eastAsia="zh-CN" w:bidi="ar-SA"/>
    </w:rPr>
  </w:style>
  <w:style w:type="paragraph" w:styleId="Default">
    <w:name w:val="Default"/>
    <w:qFormat/>
    <w:pPr>
      <w:widowControl/>
      <w:suppressAutoHyphens w:val="true"/>
      <w:bidi w:val="0"/>
      <w:jc w:val="left"/>
    </w:pPr>
    <w:rPr>
      <w:rFonts w:ascii="Cambria" w:hAnsi="Cambria" w:eastAsia="Cambria" w:cs="Cambria"/>
      <w:color w:val="000000"/>
      <w:kern w:val="0"/>
      <w:sz w:val="24"/>
      <w:szCs w:val="24"/>
      <w:lang w:val="en-US" w:eastAsia="zh-CN" w:bidi="ar-SA"/>
    </w:rPr>
  </w:style>
  <w:style w:type="paragraph" w:styleId="Textbody">
    <w:name w:val="Text body"/>
    <w:basedOn w:val="Normal"/>
    <w:qFormat/>
    <w:pPr>
      <w:spacing w:before="0" w:after="120"/>
    </w:pPr>
    <w:rPr>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0"/>
      <w:sz w:val="22"/>
      <w:szCs w:val="22"/>
      <w:lang w:val="en-US" w:eastAsia="zh-CN" w:bidi="ar-SA"/>
    </w:rPr>
  </w:style>
  <w:style w:type="paragraph" w:styleId="PoromisinA">
    <w:name w:val="Por omisión A"/>
    <w:qFormat/>
    <w:pPr>
      <w:widowControl/>
      <w:suppressAutoHyphens w:val="true"/>
      <w:bidi w:val="0"/>
      <w:jc w:val="left"/>
    </w:pPr>
    <w:rPr>
      <w:rFonts w:ascii="Helvetica;Arial" w:hAnsi="Helvetica;Arial" w:eastAsia="Arial Unicode MS" w:cs="Arial Unicode MS"/>
      <w:color w:val="000000"/>
      <w:kern w:val="0"/>
      <w:sz w:val="22"/>
      <w:szCs w:val="22"/>
      <w:lang w:val="en-US" w:eastAsia="zh-CN" w:bidi="ar-SA"/>
    </w:rPr>
  </w:style>
  <w:style w:type="paragraph" w:styleId="LONormal1">
    <w:name w:val="LO-Normal1"/>
    <w:qFormat/>
    <w:pPr>
      <w:widowControl/>
      <w:suppressAutoHyphens w:val="true"/>
      <w:overflowPunct w:val="false"/>
      <w:bidi w:val="0"/>
      <w:jc w:val="left"/>
    </w:pPr>
    <w:rPr>
      <w:rFonts w:ascii="Liberation Serif;Times New Roman" w:hAnsi="Liberation Serif;Times New Roman" w:eastAsia="SimSun" w:cs="Mangal"/>
      <w:color w:val="00000A"/>
      <w:kern w:val="0"/>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Normal_x005F_x005F_x005F_x005F_x0000_</Template>
  <TotalTime>66</TotalTime>
  <Application>LibreOffice/6.0.7.3$Linux_X86_64 LibreOffice_project/00m0$Build-3</Application>
  <Pages>4</Pages>
  <Words>1531</Words>
  <Characters>7896</Characters>
  <CharactersWithSpaces>9407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2022-02-07T11:18:53Z</dcterms:modified>
  <cp:revision>16</cp:revision>
  <dc:subject/>
  <dc:title>Los tres escultores</dc:title>
</cp:coreProperties>
</file>