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uerpoA"/>
        <w:jc w:val="both"/>
        <w:rPr/>
      </w:pPr>
      <w:r>
        <w:rPr>
          <w:rStyle w:val="NingunoA"/>
          <w:rFonts w:eastAsia="Arial" w:cs="Arial" w:ascii="Arial" w:hAnsi="Arial"/>
          <w:b/>
          <w:bCs/>
          <w:sz w:val="34"/>
          <w:szCs w:val="34"/>
        </w:rPr>
        <w:t>El Espai de Telles del Centre del Carme se consolida en su conexión del público de primera infancia con los sentidos y el arte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>Desde el 12 de octubre, permite la entrada de familias y bebés de 0 a 3 años sin inscripción previa</w:t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Pérez Pont destaca su valor de cara al Día de la Infancia: “Espai de Telles ofrece actividades culturales atractivas y de calidad para un tipo de público que normalmente no encuentra un espacio propio”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(19.11.21). </w:t>
      </w: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El Espai de Telles del Centre del Carme Cultura Contemporània (CCCC) se consolida como espacio de mediación cultural para la primera infancia a nivel nacional y como apuesta clave de la propia institución pública. Cinco años después de su puesta en marcha, continúa con su apertura permanente para que los niños y niñas de 0 a 3 años puedan jugar, sentir y descubrir con los cinco sentidos.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Este sábado 20 de noviembre, Naciones Unidas celebra el Día Universal de los Derechos de la Infancia para promover el bienestar de todos los niños y niñas con actividades sociales y culturales y el CCCC se une, a través del Espai de Telles, a este compromiso. Cuando las autoridades sanitarias lo permitieron, el espacio dirigido a la primera infancia reabrió sus puertas adaptándose a los protocolos sanitarios vigentes y con reserva previa de las familias, pero desde el pasado 12 de octubre permite que bebés y niños puedan entrar en su horario habitual hasta completar el aforo establecido. </w:t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En este sentido, José Luis Pérez Pont, director del Consorci de Museus de la Comunitat Valenciana (CMCV) y del CCCC, destaca la importancia de abrir los centros culturales al público familiar: “Con Espai de Telles ofrecemos actividades culturales atractivas y de calidad para un tipo de público que normalmente no encuentra un espacio propio en museos u otras instituciones culturales”.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>Asimismo, Pérez Pont incide en la apuesta del Consorci de Museus: “El CCCC fue pionero en la creación de este espacio en 2016 para favorecer el primer contacto con la práctica artística y desarrollar la imaginación. En diciembre celebraremos cinco años y hemos conseguido que otras instituciones culturales sigan nuestro ejemplo, pero es en el CCCC donde mantenemos la apertura permanente, incluso adaptando el espacio a los protocolos que exige la pandemia del coronavirus”.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Desde el 12 de octubre, el Espai de Telles tiene abiertas sus puertas a todas las familias y bebés de 0 a 3 años sin inscripción previa y hasta completar el aforo, cumpliendo con las medidas de higiene establecidas por las autoridades sanitarias. Como el resto de las actividades del CCCC, la entrada es gratuita y su horario es de martes a domingo, de 11.00 a 20.30 horas.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/>
          <w:bCs/>
          <w:sz w:val="24"/>
          <w:szCs w:val="24"/>
        </w:rPr>
        <w:t>Un espacio en el que dejar volar la imaginación</w:t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>Este espacio es resultado del trabajo elaborado por el Departamento de Educación y Mediación del Consorci de Museus y el programa ‘Empezamos de 0’, dirigido específicamente a niños y niñas de primera infancia (0-3 años). En concreto, mediante un acuerdo de colaboración con la cooperativa Ninos Escoles Infantils, se creó un grupo de trabajo formado por profesionales de la educación, la arquitectura, el arte y la mediación para la creación y puesta en marcha del Espai de Telles.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>Inspirado en la ‘tavolo luminoso’ de Reggio Emilia, el Espai de Telles del CCCC se organiza a partir de cuatro mesas de luz recuperadas de los fondos del CMCV y a su alrededor se crea una volumetría que posibilita una mayor superficie de exploración y que busca su inspiración en la técnica del origami: el suelo se repliega para que la actividad se despliegue a partir de la repetición de figuras poliédricas que invitan a recorrer y habitar el espacio.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En una de las esquinas se encuentran dos espejos como material de exploración, descubrimiento y reconocimiento. Además, en el espacio es importante la luz para experimentar con ella. La luz como fuente de vida, de energía, pero también de emociones. En el Espai de Telles no hay instrucciones: los bebés dejan volar la imaginación con su curiosidad innata.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7" w:top="1416" w:footer="708" w:bottom="14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ucida Grande">
    <w:charset w:val="01"/>
    <w:family w:val="roman"/>
    <w:pitch w:val="variable"/>
  </w:font>
  <w:font w:name="Politica X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es-ES"/>
      </w:rPr>
    </w:pPr>
    <w:r>
      <w:rPr/>
      <w:drawing>
        <wp:inline distT="0" distB="0" distL="0" distR="0">
          <wp:extent cx="5220970" cy="138430"/>
          <wp:effectExtent l="0" t="0" r="0" b="0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" t="-1312" r="-34" b="-1312"/>
                  <a:stretch>
                    <a:fillRect/>
                  </a:stretch>
                </pic:blipFill>
                <pic:spPr bwMode="auto">
                  <a:xfrm>
                    <a:off x="0" y="0"/>
                    <a:ext cx="5220970" cy="138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Normal"/>
      <w:rPr>
        <w:lang w:val="es-ES"/>
      </w:rPr>
    </w:pPr>
    <w:r>
      <w:rPr/>
      <mc:AlternateContent>
        <mc:Choice Requires="wpg">
          <w:drawing>
            <wp:inline distT="0" distB="0" distL="0" distR="0">
              <wp:extent cx="5390515" cy="494030"/>
              <wp:effectExtent l="0" t="0" r="0" b="0"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9920" cy="4935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389920" cy="49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n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89920" cy="493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shape_0" style="position:absolute;margin-left:0pt;margin-top:-38.9pt;width:424.4pt;height:38.85pt" coordorigin="0,-778" coordsize="8488,777">
              <v:rect id="shape_0" fillcolor="white" stroked="f" style="position:absolute;left:0;top:-778;width:8487;height:776;mso-position-vertical:top">
                <w10:wrap type="none"/>
                <v:fill o:detectmouseclick="t" type="solid" color2="black"/>
                <v:stroke color="#3465a4" joinstyle="round" endcap="flat"/>
              </v:re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n" stroked="f" style="position:absolute;left:0;top:-778;width:8487;height:776;mso-position-vertical:top" type="shapetype_75">
                <v:imagedata r:id="rId1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  <w:p>
    <w:pPr>
      <w:pStyle w:val="Cabecera"/>
      <w:rPr>
        <w:lang w:val="es-ES"/>
      </w:rPr>
    </w:pPr>
    <w:r>
      <w:rPr>
        <w:lang w:val="es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Cambria" w:hAnsi="Cambria" w:eastAsia="MS Mincho;MS Gothic" w:cs="Cambria"/>
      <w:color w:val="auto"/>
      <w:kern w:val="0"/>
      <w:sz w:val="24"/>
      <w:szCs w:val="24"/>
      <w:lang w:val="es-ES_tradnl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OpenSymbol;Arial Unicode MS" w:hAnsi="OpenSymbol;Arial Unicode MS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Fuentedeprrafopredeter4">
    <w:name w:val="Fuente de párrafo predeter.4"/>
    <w:qFormat/>
    <w:rPr/>
  </w:style>
  <w:style w:type="character" w:styleId="Fuentedeprrafopredeter3">
    <w:name w:val="Fuente de párrafo predeter.3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Fuentedeprrafopredeter2">
    <w:name w:val="Fuente de párrafo predeter.2"/>
    <w:qFormat/>
    <w:rPr/>
  </w:style>
  <w:style w:type="character" w:styleId="Fuentedeprrafopredeter1">
    <w:name w:val="Fuente de párrafo predeter.1"/>
    <w:qFormat/>
    <w:rPr/>
  </w:style>
  <w:style w:type="character" w:styleId="EncabezadoCar">
    <w:name w:val="Encabezado Car"/>
    <w:basedOn w:val="Fuentedeprrafopredeter1"/>
    <w:qFormat/>
    <w:rPr/>
  </w:style>
  <w:style w:type="character" w:styleId="PiedepginaCar">
    <w:name w:val="Pie de página Car"/>
    <w:basedOn w:val="Fuentedeprrafopredeter1"/>
    <w:qFormat/>
    <w:rPr/>
  </w:style>
  <w:style w:type="character" w:styleId="TextodegloboCar">
    <w:name w:val="Texto de globo Car"/>
    <w:qFormat/>
    <w:rPr>
      <w:rFonts w:ascii="Lucida Grande" w:hAnsi="Lucida Grande" w:cs="Lucida Grande"/>
      <w:sz w:val="18"/>
      <w:szCs w:val="18"/>
    </w:rPr>
  </w:style>
  <w:style w:type="character" w:styleId="A1">
    <w:name w:val="A1"/>
    <w:qFormat/>
    <w:rPr>
      <w:rFonts w:ascii="Politica XT" w:hAnsi="Politica XT" w:cs="Politica XT"/>
      <w:color w:val="000000"/>
      <w:sz w:val="20"/>
    </w:rPr>
  </w:style>
  <w:style w:type="character" w:styleId="A3">
    <w:name w:val="A3"/>
    <w:qFormat/>
    <w:rPr>
      <w:rFonts w:cs="Aria Text G2"/>
      <w:color w:val="221E1F"/>
      <w:sz w:val="18"/>
      <w:szCs w:val="18"/>
    </w:rPr>
  </w:style>
  <w:style w:type="character" w:styleId="EnlacedeInternet">
    <w:name w:val="Enlace de Internet"/>
    <w:rPr>
      <w:color w:val="0000FF"/>
      <w:u w:val="single"/>
    </w:rPr>
  </w:style>
  <w:style w:type="character" w:styleId="TextoindependienteCar">
    <w:name w:val="Texto independiente Car"/>
    <w:qFormat/>
    <w:rPr>
      <w:sz w:val="24"/>
      <w:szCs w:val="24"/>
      <w:lang w:val="es-ES_tradnl"/>
    </w:rPr>
  </w:style>
  <w:style w:type="character" w:styleId="Muydestacado">
    <w:name w:val="Muy destacado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Ninguno">
    <w:name w:val="Ninguno"/>
    <w:qFormat/>
    <w:rPr>
      <w:lang w:val="es-ES_tradnl"/>
    </w:rPr>
  </w:style>
  <w:style w:type="character" w:styleId="Internetlink">
    <w:name w:val="Internet link"/>
    <w:qFormat/>
    <w:rPr>
      <w:color w:val="0000FF"/>
      <w:u w:val="single" w:color="000000"/>
    </w:rPr>
  </w:style>
  <w:style w:type="character" w:styleId="NingunoA">
    <w:name w:val="Ninguno A"/>
    <w:qFormat/>
    <w:rPr>
      <w:lang w:val="es-ES_tradnl"/>
    </w:rPr>
  </w:style>
  <w:style w:type="character" w:styleId="ListLabel1">
    <w:name w:val="ListLabel 1"/>
    <w:qFormat/>
    <w:rPr>
      <w:rFonts w:ascii="Arial" w:hAnsi="Arial" w:cs="Symbol"/>
      <w:sz w:val="2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bezado4">
    <w:name w:val="Encabezado4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3">
    <w:name w:val="Encabezado3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ncabezado2">
    <w:name w:val="Encabezado2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ncabezado1">
    <w:name w:val="Encabezado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becera">
    <w:name w:val="Header"/>
    <w:basedOn w:val="Normal"/>
    <w:pPr/>
    <w:rPr/>
  </w:style>
  <w:style w:type="paragraph" w:styleId="Piedepgina">
    <w:name w:val="Footer"/>
    <w:basedOn w:val="Normal"/>
    <w:pPr/>
    <w:rPr/>
  </w:style>
  <w:style w:type="paragraph" w:styleId="Textodeglobo">
    <w:name w:val="Texto de globo"/>
    <w:basedOn w:val="Normal"/>
    <w:qFormat/>
    <w:pPr/>
    <w:rPr>
      <w:rFonts w:ascii="Lucida Grande" w:hAnsi="Lucida Grande" w:cs="Lucida Grande"/>
      <w:sz w:val="18"/>
      <w:szCs w:val="18"/>
      <w:lang w:val="es-ES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  <w:lang w:val="es-ES"/>
    </w:rPr>
  </w:style>
  <w:style w:type="paragraph" w:styleId="Cuadrculamedia1nfasis21">
    <w:name w:val="Cuadrícula media 1 - Énfasis 21"/>
    <w:basedOn w:val="Normal"/>
    <w:qFormat/>
    <w:pPr>
      <w:suppressAutoHyphens w:val="true"/>
      <w:ind w:left="720" w:right="0" w:hanging="0"/>
    </w:pPr>
    <w:rPr>
      <w:rFonts w:ascii="Times New Roman" w:hAnsi="Times New Roman" w:eastAsia="Times New Roman" w:cs="Times New Roman"/>
      <w:lang w:val="es-ES"/>
    </w:rPr>
  </w:style>
  <w:style w:type="paragraph" w:styleId="Standard">
    <w:name w:val="Standard"/>
    <w:qFormat/>
    <w:pPr>
      <w:widowControl/>
      <w:shd w:val="clear" w:fill="FFFFFF"/>
      <w:suppressAutoHyphens w:val="true"/>
      <w:bidi w:val="0"/>
      <w:jc w:val="left"/>
      <w:textAlignment w:val="baseline"/>
    </w:pPr>
    <w:rPr>
      <w:rFonts w:ascii="Liberation Serif;Times New Roman" w:hAnsi="Liberation Serif;Times New Roman" w:eastAsia="Liberation Serif;Times New Roman" w:cs="Liberation Serif;Times New Roman"/>
      <w:color w:val="000000"/>
      <w:kern w:val="2"/>
      <w:sz w:val="24"/>
      <w:szCs w:val="24"/>
      <w:lang w:val="es-ES" w:eastAsia="zh-CN" w:bidi="hi-IN"/>
    </w:rPr>
  </w:style>
  <w:style w:type="paragraph" w:styleId="Sinespaciado">
    <w:name w:val="Sin espaciado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ar-SA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Cambria" w:hAnsi="Cambria" w:eastAsia="Cambria" w:cs="Cambria"/>
      <w:color w:val="000000"/>
      <w:kern w:val="0"/>
      <w:sz w:val="24"/>
      <w:szCs w:val="24"/>
      <w:lang w:val="es-ES_tradnl" w:eastAsia="zh-CN" w:bidi="ar-SA"/>
    </w:rPr>
  </w:style>
  <w:style w:type="paragraph" w:styleId="Textbody">
    <w:name w:val="Text body"/>
    <w:basedOn w:val="Normal"/>
    <w:qFormat/>
    <w:pPr>
      <w:spacing w:before="0" w:after="120"/>
    </w:pPr>
    <w:rPr>
      <w:kern w:val="2"/>
      <w:lang w:val="es-ES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P1">
    <w:name w:val="p1"/>
    <w:basedOn w:val="Normal"/>
    <w:qFormat/>
    <w:pPr/>
    <w:rPr>
      <w:rFonts w:ascii="Times;Times New Roman" w:hAnsi="Times;Times New Roman" w:cs="Times;Times New Roman"/>
      <w:sz w:val="18"/>
      <w:szCs w:val="18"/>
    </w:rPr>
  </w:style>
  <w:style w:type="paragraph" w:styleId="Pa1">
    <w:name w:val="Pa1"/>
    <w:basedOn w:val="Default"/>
    <w:next w:val="Default"/>
    <w:qFormat/>
    <w:pPr>
      <w:suppressAutoHyphens w:val="false"/>
      <w:spacing w:lineRule="atLeast" w:line="241"/>
    </w:pPr>
    <w:rPr>
      <w:rFonts w:ascii="Politica XT" w:hAnsi="Politica XT" w:eastAsia="Calibri" w:cs="Times New Roman"/>
      <w:color w:val="000000"/>
      <w:lang w:val="es-ES"/>
    </w:rPr>
  </w:style>
  <w:style w:type="paragraph" w:styleId="Pa2">
    <w:name w:val="Pa2"/>
    <w:basedOn w:val="Default"/>
    <w:next w:val="Default"/>
    <w:qFormat/>
    <w:pPr>
      <w:suppressAutoHyphens w:val="false"/>
      <w:spacing w:lineRule="atLeast" w:line="241"/>
    </w:pPr>
    <w:rPr>
      <w:rFonts w:ascii="Politica XT" w:hAnsi="Politica XT" w:eastAsia="Calibri" w:cs="Times New Roman"/>
      <w:color w:val="000000"/>
      <w:lang w:val="es-ES"/>
    </w:rPr>
  </w:style>
  <w:style w:type="paragraph" w:styleId="CuerpoA">
    <w:name w:val="Cuerpo A"/>
    <w:qFormat/>
    <w:pPr>
      <w:widowControl/>
      <w:suppressAutoHyphens w:val="true"/>
      <w:bidi w:val="0"/>
      <w:jc w:val="left"/>
    </w:pPr>
    <w:rPr>
      <w:rFonts w:ascii="Helvetica;Arial" w:hAnsi="Helvetica;Arial" w:eastAsia="Arial Unicode MS" w:cs="Arial Unicode MS"/>
      <w:color w:val="000000"/>
      <w:kern w:val="0"/>
      <w:sz w:val="22"/>
      <w:szCs w:val="22"/>
      <w:lang w:val="es-ES_tradnl" w:eastAsia="zh-CN" w:bidi="ar-SA"/>
    </w:rPr>
  </w:style>
  <w:style w:type="paragraph" w:styleId="PoromisinA">
    <w:name w:val="Por omisión A"/>
    <w:qFormat/>
    <w:pPr>
      <w:widowControl/>
      <w:suppressAutoHyphens w:val="true"/>
      <w:bidi w:val="0"/>
      <w:jc w:val="left"/>
    </w:pPr>
    <w:rPr>
      <w:rFonts w:ascii="Helvetica;Arial" w:hAnsi="Helvetica;Arial" w:eastAsia="Arial Unicode MS" w:cs="Arial Unicode MS"/>
      <w:color w:val="000000"/>
      <w:kern w:val="0"/>
      <w:sz w:val="22"/>
      <w:szCs w:val="22"/>
      <w:lang w:val="es-ES_tradnl" w:eastAsia="zh-CN" w:bidi="ar-SA"/>
    </w:rPr>
  </w:style>
  <w:style w:type="paragraph" w:styleId="LONormal1">
    <w:name w:val="LO-Normal1"/>
    <w:qFormat/>
    <w:pPr>
      <w:widowControl/>
      <w:suppressAutoHyphens w:val="true"/>
      <w:overflowPunct w:val="false"/>
      <w:bidi w:val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es-E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47</TotalTime>
  <Application>LibreOffice/6.0.7.3$Linux_X86_64 LibreOffice_project/00m0$Build-3</Application>
  <Pages>2</Pages>
  <Words>677</Words>
  <Characters>3361</Characters>
  <CharactersWithSpaces>4029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2021-10-10T20:09:00Z</dcterms:created>
  <dc:creator>hola hola</dc:creator>
  <dc:description/>
  <dc:language>es-ES</dc:language>
  <cp:lastModifiedBy/>
  <cp:lastPrinted>2021-10-07T10:54:00Z</cp:lastPrinted>
  <dcterms:modified xsi:type="dcterms:W3CDTF">2021-11-19T11:53:39Z</dcterms:modified>
  <cp:revision>11</cp:revision>
  <dc:subject/>
  <dc:title>Los tres escultores</dc:title>
</cp:coreProperties>
</file>