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reivindica la implicación de las instituciones públicas para garantizar la igualdad de género en las artes con ForoMAV21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se sitúa como referente en esta lucha con el uso de la pionera Herramienta MAV, que marca recomendaciones sobre igualdad de género</w:t>
      </w:r>
    </w:p>
    <w:p>
      <w:pPr>
        <w:pStyle w:val="Normal"/>
        <w:numPr>
          <w:ilvl w:val="0"/>
          <w:numId w:val="1"/>
        </w:numPr>
        <w:spacing w:before="0" w:after="120"/>
        <w:jc w:val="both"/>
        <w:rPr>
          <w:rFonts w:ascii="Arial" w:hAnsi="Arial" w:eastAsia="Arial" w:cs="Arial"/>
        </w:rPr>
      </w:pPr>
      <w:r>
        <w:rPr>
          <w:rFonts w:eastAsia="Arial" w:cs="Arial" w:ascii="Arial" w:hAnsi="Arial"/>
        </w:rPr>
        <w:t>El Centre del Carme, como anfitrión, contó con las intervenciones de Frances Morris y Andrea Giunta y analizó decenas de proyectos pioneros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7</w:t>
      </w:r>
      <w:r>
        <w:rPr>
          <w:rStyle w:val="NingunoA"/>
          <w:rFonts w:cs="Arial" w:ascii="Arial" w:hAnsi="Arial"/>
          <w:b/>
          <w:bCs/>
          <w:sz w:val="24"/>
          <w:szCs w:val="24"/>
        </w:rPr>
        <w:t xml:space="preserve">.10.2021). </w:t>
      </w:r>
      <w:r>
        <w:rPr>
          <w:rStyle w:val="NingunoA"/>
          <w:rFonts w:cs="Arial" w:ascii="Arial" w:hAnsi="Arial"/>
          <w:b w:val="false"/>
          <w:bCs w:val="false"/>
          <w:sz w:val="24"/>
          <w:szCs w:val="24"/>
        </w:rPr>
        <w:t xml:space="preserve">Adoptar un papel proactivo, introducir la perspectiva de género, ir más allá de las exigencias del mercado y tener buenas referencias. Son las principales recomendaciones que se extraen del ForoMAV21, un punto de encuentro que este fin de semana ha reunido a numerosas profesionales del mundo del arte visual en el principal agitador cultural de València, el Centre del Carme Cultura Contemporània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Este viernes y sábado, el foro internacional de la Asociación de Mujeres en las Artes Visuales, ForoMAV21, ha llegado por primera vez a València para ampliar su reivindicación y exigir la implicación de las instituciones públicas en la plena igualdad. Coorganizado por el Consorci de Museus de la Comunitat Valenciana (CMCV), las dos jornadas han contado con ‘performances’, debates, análisis y entrevistas a artistas visuales, directoras y directores de museos, comisarias y comisarios, profesionales de la investigación y docentes de Europa y Latinoamérica.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Es el caso de Orlando Brito, director del CAAM de Las Palmas; Nuria Enguita, directora del IVAM; Patricia Molins, coordinadora de exposiciones en el Museo Reina Sofía; Sofía Rodríguez, directora del Museo Nacional de Artes Decorativas; Fernando Sáez Lara, director del Museo de Antropología; y José Luis Pérez Pont, director del CCCC y del Consorci de Museus, que ha expresado que “muchas veces pedimos a la ciudadanía unirse a esta lucha, pero no podremos avanzar sin un compromiso firme por parte de las instituciones culturales, espacios de reflexión y crítica al lado de las personas”. “Desde el Consorci de Museus nos reafirmamos en seguir mejorando cada día tras escuchar a las decenas de profesionales y proyectos que han pasado por el ForoMAV”, ha añadido.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Frances Morris pide un papel proactivo de las instituciones públicas</w:t>
      </w:r>
    </w:p>
    <w:p>
      <w:pPr>
        <w:pStyle w:val="CuerpoA"/>
        <w:jc w:val="both"/>
        <w:rPr/>
      </w:pPr>
      <w:r>
        <w:rPr>
          <w:rStyle w:val="NingunoA"/>
          <w:rFonts w:cs="Arial" w:ascii="Arial" w:hAnsi="Arial"/>
          <w:b w:val="false"/>
          <w:bCs w:val="false"/>
          <w:sz w:val="24"/>
          <w:szCs w:val="24"/>
        </w:rPr>
        <w:t xml:space="preserve">El foro internacional de la Asociación de Mujeres en las Artes Visuales ha contado con una decena de actividades, aunque uno de los momentos más esperados fue la participación de Frances Morris, la primera directora mujer de la Tate Modern, que fue entrevistada en línea este viernes por la crítica de arte y comisaria Marisol Salanova.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historiadora defendió la necesidad de que las instituciones públicas adquieran un papel proactivo en la lucha contra la desigualdad de género dentro del arte y que los museos públicos sean, en la medida de lo posible, ajenos a las exigencias del mercado, ya que es en el sector privado donde las desigualdades de género son más claras: “En el 78% de las galerías la representación sigue siendo mayoritariamente masculina, por lo que hay que reescribir la historia que cuentan los museos desde nuevos puntos de vista”.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Morris reconoció que la colección internacional de la Tate Modern es un buen ejemplo de colección igualitaria, “pero nuestros logros no son la norma”. “Al repasar estos últimos 30 años, observo que han cambiado muchas cosas, pero no se puede aislar un momento concreto de cambio significativo. Lo que yo he visto es un cambio muy lento y progresivo, tanto en la naturaleza de las instituciones como en la manera de abordar la cuestión del género”, subrayó.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cuanto a referencias, el viernes el ForoMAV analizó una veintena de proyectos culturales, exposiciones y colectivos que destacan por su labor pionera a través del Panel de buenas prácticas. Por ejemplo, el trabajo experimental de Cómo ser fotógrafa, Beatriz Pereira y The Liminal; la exposición ‘Pintar, crear, viure. Dones artistes de l’Alt Empordà (1830-1939)’; el proyecto ‘Mujeres artistas en España (1830-1939)’ y de colectivos como Nosotras Proponemos (Argentina), Archivas&amp;Documentas/Mujeres, Arte y Visualidades (Ecuador) y La Revuelta (Guatemala); la IAWM (International Association Women’s Museums), el archivo AWARE (Archives of Women Artists, Research and Exhibition); el Portal de Igualdad (València) y el grupo de trabajo Museus i Gènere (Cataluña).</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Giunta: “Tengo dudas de que estemos ante un cambio de paradigma”</w:t>
      </w:r>
    </w:p>
    <w:p>
      <w:pPr>
        <w:pStyle w:val="CuerpoA"/>
        <w:jc w:val="both"/>
        <w:rPr/>
      </w:pPr>
      <w:r>
        <w:rPr>
          <w:rStyle w:val="NingunoA"/>
          <w:rFonts w:cs="Arial" w:ascii="Arial" w:hAnsi="Arial"/>
          <w:b w:val="false"/>
          <w:bCs w:val="false"/>
          <w:sz w:val="24"/>
          <w:szCs w:val="24"/>
        </w:rPr>
        <w:t xml:space="preserve">Asimismo, el viernes destacó la intervención de Andrea Giunta, una de las especialistas en arte y comisarias más reconocidas de Latinoamérica y referente en la historiografía sobre arte feminista del continente. Advirtió que muchos museos de Latinoamérica y España están adoptando “gestos coyunturales” en la perspectiva de género, pero no verdaderas transformaciones.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Tengo dudas de que esta coyuntura implique un verdadero cambio de paradigma. Para que se produzca un verdadero cambio, los museos no tienen que limitarse a organizar exposiciones de mujeres –aunque estas son importantísimas– para rellenar programaciones desde la corrección política. Tiene que haber un impulso constante, apoyado en investigaciones y publicaciones. Se deben generar proyectos, archivos, nueva bibliografía y fomentar espacios de análisis”, reivindicó.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La Herramienta MAV de autodiagnóstico</w:t>
      </w:r>
    </w:p>
    <w:p>
      <w:pPr>
        <w:pStyle w:val="CuerpoA"/>
        <w:jc w:val="both"/>
        <w:rPr/>
      </w:pPr>
      <w:r>
        <w:rPr>
          <w:rStyle w:val="NingunoA"/>
          <w:rFonts w:cs="Arial" w:ascii="Arial" w:hAnsi="Arial"/>
          <w:b w:val="false"/>
          <w:bCs w:val="false"/>
          <w:sz w:val="24"/>
          <w:szCs w:val="24"/>
        </w:rPr>
        <w:t xml:space="preserve">En la segunda jornada del foro, el CCCC dio a conocer los primeros resultados de la Herramienta MAV, un ‘software’ pionero a nivel internacional para la autoevaluación de museos y centros de arte en cuestiones de igualdad dotado de un cuestionario de 60 preguntas, divididas en siete bloques temáticos, que se pone a disposición de los museos para ayudarles a comprobar y visualizar en qué parámetros cumplen o no con la igualdad y el respeto a la diversidad.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objetivo es incentivar a las instituciones participantes –ya sean de gran envergadura o de ámbito local, privadas o públicas– a diseñar e implementar acciones correctoras. Beatriz Mérida, coordinadora de la herramienta, expuso los resultados de la fase piloto y anunció que el Ministerio de Cultura, el CMCV y la Xarxa de Museus d’Història i Monuments de Catalunya “han hecho suya” esta herramienta y la están aplicando o están recomendando su uso a todos los museos de su competencia.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esta fase han participado 28 centros, como el Museo Reina Sofía, el Museo del Traje de Madrid, el Museo de Bellas Artes de València, el CCCC, el Centro Atlántico de Arte Moderno de Canarias, el Centro Galego de Arte Contemporánea, el Museo de Arte Contemporáneo Vicente Aguilera Cerni (MACVAC), el Museo de Arte Contemporáneo de Alicante, el Museo de Arte Africano Arellano Alonso de la Uva, el Museo de la Evolución Humana, el Museo de Valladolid, el Museo de Salamanca y el Museo Nacional de Arte Romano.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presentación de la Herramienta MAV fue precedida por la mesa de debate ‘Arte, currículums educativos y género’, en la que participaron Ricard Huerta, director del Institut de Creativitat i Innovacions Educatives de la Universitat de València; Belén Ruiz, profesora de Historia del Arte de la Universidad de Málaga; Rosa Sáez, miembro de la Unidad de Igualdad de la EASD de València; Rosa Sansegundo, presidenta de la Plataforma Universitaria de Estudios Feministas, y Miriam Varela, profesora de Historia del Arte y cofundadora del colectivo La Roldana, enfocado a la reivindicación de la inclusión de más mujeres artistas en los currículums educativos.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Esta última celebró la mención que se ha incluido en el borrador de la nueva ley de educación a la necesidad de integrar la perspectiva de género en el estudio de la historia del arte, “analizando el papel que ha ocupado y la imagen que de ella se ha dado”. Sin embargo, Varela criticó la falta de concreción de la ley: “Tendría que añadir cuántas mujeres hay que incorporar, cuáles y cómo”.</w:t>
      </w:r>
    </w:p>
    <w:p>
      <w:pPr>
        <w:pStyle w:val="Normal"/>
        <w:jc w:val="both"/>
        <w:rPr>
          <w:rFonts w:ascii="Arial" w:hAnsi="Arial" w:eastAsia="Arial" w:cs="Arial"/>
          <w:b w:val="false"/>
          <w:b w:val="false"/>
          <w:bCs w:val="false"/>
          <w:sz w:val="28"/>
          <w:szCs w:val="28"/>
          <w:u w:val="single"/>
        </w:rPr>
      </w:pPr>
      <w:r>
        <w:rPr>
          <w:rFonts w:eastAsia="Arial" w:cs="Arial" w:ascii="Arial" w:hAnsi="Arial"/>
          <w:b w:val="false"/>
          <w:bCs w:val="false"/>
          <w:sz w:val="28"/>
          <w:szCs w:val="28"/>
          <w:u w:val="single"/>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1234</Words>
  <Characters>6566</Characters>
  <CharactersWithSpaces>7786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2021-11-17T15:53:00Z</dcterms:modified>
  <cp:revision>10</cp:revision>
  <dc:subject/>
  <dc:title>Los tres escultores</dc:title>
</cp:coreProperties>
</file>